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57" w:rsidRDefault="00E67C5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bookmarkStart w:id="0" w:name="_GoBack"/>
      <w:bookmarkEnd w:id="0"/>
      <w:r>
        <w:br/>
      </w:r>
    </w:p>
    <w:p w:rsidR="00E67C57" w:rsidRDefault="00E67C57">
      <w:pPr>
        <w:pStyle w:val="ConsPlusNormal"/>
        <w:ind w:firstLine="540"/>
        <w:jc w:val="both"/>
        <w:outlineLvl w:val="0"/>
      </w:pPr>
    </w:p>
    <w:p w:rsidR="00E67C57" w:rsidRDefault="00E67C57">
      <w:pPr>
        <w:pStyle w:val="ConsPlusTitle"/>
        <w:jc w:val="center"/>
        <w:outlineLvl w:val="0"/>
      </w:pPr>
      <w:r>
        <w:t>АДМИНИСТРАЦИЯ НЕНЕЦКОГО АВТОНОМНОГО ОКРУГА</w:t>
      </w:r>
    </w:p>
    <w:p w:rsidR="00E67C57" w:rsidRDefault="00E67C57">
      <w:pPr>
        <w:pStyle w:val="ConsPlusTitle"/>
        <w:jc w:val="center"/>
      </w:pPr>
    </w:p>
    <w:p w:rsidR="00E67C57" w:rsidRDefault="00E67C57">
      <w:pPr>
        <w:pStyle w:val="ConsPlusTitle"/>
        <w:jc w:val="center"/>
      </w:pPr>
      <w:r>
        <w:t>ПОСТАНОВЛЕНИЕ</w:t>
      </w:r>
    </w:p>
    <w:p w:rsidR="00E67C57" w:rsidRDefault="00E67C57">
      <w:pPr>
        <w:pStyle w:val="ConsPlusTitle"/>
        <w:jc w:val="center"/>
      </w:pPr>
      <w:r>
        <w:t>от 30 октября 2013 г. N 378-п</w:t>
      </w:r>
    </w:p>
    <w:p w:rsidR="00E67C57" w:rsidRDefault="00E67C57">
      <w:pPr>
        <w:pStyle w:val="ConsPlusTitle"/>
        <w:jc w:val="center"/>
      </w:pPr>
    </w:p>
    <w:p w:rsidR="00E67C57" w:rsidRDefault="00E67C57">
      <w:pPr>
        <w:pStyle w:val="ConsPlusTitle"/>
        <w:jc w:val="center"/>
      </w:pPr>
      <w:r>
        <w:t xml:space="preserve">ОБ УТВЕРЖДЕНИИ ГОСУДАРСТВЕННОЙ ПРОГРАММЫ </w:t>
      </w:r>
      <w:proofErr w:type="gramStart"/>
      <w:r>
        <w:t>НЕНЕЦКОГО</w:t>
      </w:r>
      <w:proofErr w:type="gramEnd"/>
    </w:p>
    <w:p w:rsidR="00E67C57" w:rsidRDefault="00E67C57">
      <w:pPr>
        <w:pStyle w:val="ConsPlusTitle"/>
        <w:jc w:val="center"/>
      </w:pPr>
      <w:r>
        <w:t>АВТОНОМНОГО ОКРУГА "ОБЕСПЕЧЕНИЕ ОБЩЕСТВЕННОГО ПОРЯДКА,</w:t>
      </w:r>
    </w:p>
    <w:p w:rsidR="00E67C57" w:rsidRDefault="00E67C57">
      <w:pPr>
        <w:pStyle w:val="ConsPlusTitle"/>
        <w:jc w:val="center"/>
      </w:pPr>
      <w:r>
        <w:t>ПРОТИВОДЕЙСТВИЕ ПРЕСТУПНОСТИ, ТЕРРОРИЗМУ, ЭКСТРЕМИЗМУ</w:t>
      </w:r>
    </w:p>
    <w:p w:rsidR="00E67C57" w:rsidRDefault="00E67C57">
      <w:pPr>
        <w:pStyle w:val="ConsPlusTitle"/>
        <w:jc w:val="center"/>
      </w:pPr>
      <w:r>
        <w:t>И КОРРУПЦИИ В НЕНЕЦКОМ АВТОНОМНОМ ОКРУГЕ"</w:t>
      </w:r>
    </w:p>
    <w:p w:rsidR="00E67C57" w:rsidRDefault="00E67C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7C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C57" w:rsidRDefault="00E67C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C57" w:rsidRDefault="00E67C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7C57" w:rsidRDefault="00E67C5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НАО от 05.03.2014 </w:t>
            </w:r>
            <w:hyperlink r:id="rId6">
              <w:r>
                <w:rPr>
                  <w:color w:val="0000FF"/>
                </w:rPr>
                <w:t>N 77-п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06.03.2014 </w:t>
            </w:r>
            <w:hyperlink r:id="rId7">
              <w:r>
                <w:rPr>
                  <w:color w:val="0000FF"/>
                </w:rPr>
                <w:t>N 92-п</w:t>
              </w:r>
            </w:hyperlink>
            <w:r>
              <w:rPr>
                <w:color w:val="392C69"/>
              </w:rPr>
              <w:t xml:space="preserve">, от 28.04.2014 </w:t>
            </w:r>
            <w:hyperlink r:id="rId8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18.06.2014 </w:t>
            </w:r>
            <w:hyperlink r:id="rId9">
              <w:r>
                <w:rPr>
                  <w:color w:val="0000FF"/>
                </w:rPr>
                <w:t>N 211-п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08.10.2014 </w:t>
            </w:r>
            <w:hyperlink r:id="rId10">
              <w:r>
                <w:rPr>
                  <w:color w:val="0000FF"/>
                </w:rPr>
                <w:t>N 376-п</w:t>
              </w:r>
            </w:hyperlink>
            <w:r>
              <w:rPr>
                <w:color w:val="392C69"/>
              </w:rPr>
              <w:t xml:space="preserve">, от 22.10.2014 </w:t>
            </w:r>
            <w:hyperlink r:id="rId11">
              <w:r>
                <w:rPr>
                  <w:color w:val="0000FF"/>
                </w:rPr>
                <w:t>N 394-п</w:t>
              </w:r>
            </w:hyperlink>
            <w:r>
              <w:rPr>
                <w:color w:val="392C69"/>
              </w:rPr>
              <w:t xml:space="preserve">, от 05.03.2015 </w:t>
            </w:r>
            <w:hyperlink r:id="rId12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10.11.2015 </w:t>
            </w:r>
            <w:hyperlink r:id="rId13">
              <w:r>
                <w:rPr>
                  <w:color w:val="0000FF"/>
                </w:rPr>
                <w:t>N 356-п</w:t>
              </w:r>
            </w:hyperlink>
            <w:r>
              <w:rPr>
                <w:color w:val="392C69"/>
              </w:rPr>
              <w:t xml:space="preserve">, от 22.12.2015 </w:t>
            </w:r>
            <w:hyperlink r:id="rId14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 xml:space="preserve">, от 10.02.2016 </w:t>
            </w:r>
            <w:hyperlink r:id="rId15">
              <w:r>
                <w:rPr>
                  <w:color w:val="0000FF"/>
                </w:rPr>
                <w:t>N 34-п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16">
              <w:r>
                <w:rPr>
                  <w:color w:val="0000FF"/>
                </w:rPr>
                <w:t>N 211-п</w:t>
              </w:r>
            </w:hyperlink>
            <w:r>
              <w:rPr>
                <w:color w:val="392C69"/>
              </w:rPr>
              <w:t xml:space="preserve">, от 08.09.2016 </w:t>
            </w:r>
            <w:hyperlink r:id="rId17">
              <w:r>
                <w:rPr>
                  <w:color w:val="0000FF"/>
                </w:rPr>
                <w:t>N 286-п</w:t>
              </w:r>
            </w:hyperlink>
            <w:r>
              <w:rPr>
                <w:color w:val="392C69"/>
              </w:rPr>
              <w:t xml:space="preserve">, от 05.10.2016 </w:t>
            </w:r>
            <w:hyperlink r:id="rId18">
              <w:r>
                <w:rPr>
                  <w:color w:val="0000FF"/>
                </w:rPr>
                <w:t>N 320-п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9">
              <w:r>
                <w:rPr>
                  <w:color w:val="0000FF"/>
                </w:rPr>
                <w:t>N 413-п</w:t>
              </w:r>
            </w:hyperlink>
            <w:r>
              <w:rPr>
                <w:color w:val="392C69"/>
              </w:rPr>
              <w:t xml:space="preserve">, от 15.02.2017 </w:t>
            </w:r>
            <w:hyperlink r:id="rId20">
              <w:r>
                <w:rPr>
                  <w:color w:val="0000FF"/>
                </w:rPr>
                <w:t>N 43-п</w:t>
              </w:r>
            </w:hyperlink>
            <w:r>
              <w:rPr>
                <w:color w:val="392C69"/>
              </w:rPr>
              <w:t xml:space="preserve">, от 20.03.2017 </w:t>
            </w:r>
            <w:hyperlink r:id="rId21">
              <w:r>
                <w:rPr>
                  <w:color w:val="0000FF"/>
                </w:rPr>
                <w:t>N 81-п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29.06.2017 </w:t>
            </w:r>
            <w:hyperlink r:id="rId22">
              <w:r>
                <w:rPr>
                  <w:color w:val="0000FF"/>
                </w:rPr>
                <w:t>N 218-п</w:t>
              </w:r>
            </w:hyperlink>
            <w:r>
              <w:rPr>
                <w:color w:val="392C69"/>
              </w:rPr>
              <w:t xml:space="preserve">, от 26.09.2017 </w:t>
            </w:r>
            <w:hyperlink r:id="rId23">
              <w:r>
                <w:rPr>
                  <w:color w:val="0000FF"/>
                </w:rPr>
                <w:t>N 299-п</w:t>
              </w:r>
            </w:hyperlink>
            <w:r>
              <w:rPr>
                <w:color w:val="392C69"/>
              </w:rPr>
              <w:t xml:space="preserve">, от 26.12.2017 </w:t>
            </w:r>
            <w:hyperlink r:id="rId24">
              <w:r>
                <w:rPr>
                  <w:color w:val="0000FF"/>
                </w:rPr>
                <w:t>N 390-п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02.04.2018 </w:t>
            </w:r>
            <w:hyperlink r:id="rId25">
              <w:r>
                <w:rPr>
                  <w:color w:val="0000FF"/>
                </w:rPr>
                <w:t>N 70-п</w:t>
              </w:r>
            </w:hyperlink>
            <w:r>
              <w:rPr>
                <w:color w:val="392C69"/>
              </w:rPr>
              <w:t xml:space="preserve">, от 06.07.2018 </w:t>
            </w:r>
            <w:hyperlink r:id="rId26">
              <w:r>
                <w:rPr>
                  <w:color w:val="0000FF"/>
                </w:rPr>
                <w:t>N 166-п</w:t>
              </w:r>
            </w:hyperlink>
            <w:r>
              <w:rPr>
                <w:color w:val="392C69"/>
              </w:rPr>
              <w:t xml:space="preserve">, от 10.10.2018 </w:t>
            </w:r>
            <w:hyperlink r:id="rId27">
              <w:r>
                <w:rPr>
                  <w:color w:val="0000FF"/>
                </w:rPr>
                <w:t>N 247-п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08.04.2019 </w:t>
            </w:r>
            <w:hyperlink r:id="rId28">
              <w:r>
                <w:rPr>
                  <w:color w:val="0000FF"/>
                </w:rPr>
                <w:t>N 94-п</w:t>
              </w:r>
            </w:hyperlink>
            <w:r>
              <w:rPr>
                <w:color w:val="392C69"/>
              </w:rPr>
              <w:t xml:space="preserve">, от 20.09.2019 </w:t>
            </w:r>
            <w:hyperlink r:id="rId29">
              <w:r>
                <w:rPr>
                  <w:color w:val="0000FF"/>
                </w:rPr>
                <w:t>N 251-п</w:t>
              </w:r>
            </w:hyperlink>
            <w:r>
              <w:rPr>
                <w:color w:val="392C69"/>
              </w:rPr>
              <w:t xml:space="preserve">, от 23.03.2020 </w:t>
            </w:r>
            <w:hyperlink r:id="rId30">
              <w:r>
                <w:rPr>
                  <w:color w:val="0000FF"/>
                </w:rPr>
                <w:t>N 57-п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02.09.2020 </w:t>
            </w:r>
            <w:hyperlink r:id="rId31">
              <w:r>
                <w:rPr>
                  <w:color w:val="0000FF"/>
                </w:rPr>
                <w:t>N 237-п</w:t>
              </w:r>
            </w:hyperlink>
            <w:r>
              <w:rPr>
                <w:color w:val="392C69"/>
              </w:rPr>
              <w:t xml:space="preserve">, от 17.03.2021 </w:t>
            </w:r>
            <w:hyperlink r:id="rId32">
              <w:r>
                <w:rPr>
                  <w:color w:val="0000FF"/>
                </w:rPr>
                <w:t>N 76-п</w:t>
              </w:r>
            </w:hyperlink>
            <w:r>
              <w:rPr>
                <w:color w:val="392C69"/>
              </w:rPr>
              <w:t xml:space="preserve">, от 28.06.2021 </w:t>
            </w:r>
            <w:hyperlink r:id="rId33">
              <w:r>
                <w:rPr>
                  <w:color w:val="0000FF"/>
                </w:rPr>
                <w:t>N 167-п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13.10.2021 </w:t>
            </w:r>
            <w:hyperlink r:id="rId34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 xml:space="preserve">, от 24.11.2021 </w:t>
            </w:r>
            <w:hyperlink r:id="rId35">
              <w:r>
                <w:rPr>
                  <w:color w:val="0000FF"/>
                </w:rPr>
                <w:t>N 293-п</w:t>
              </w:r>
            </w:hyperlink>
            <w:r>
              <w:rPr>
                <w:color w:val="392C69"/>
              </w:rPr>
              <w:t xml:space="preserve">, от 24.03.2022 </w:t>
            </w:r>
            <w:hyperlink r:id="rId36">
              <w:r>
                <w:rPr>
                  <w:color w:val="0000FF"/>
                </w:rPr>
                <w:t>N 70-п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09.09.2022 </w:t>
            </w:r>
            <w:hyperlink r:id="rId37">
              <w:r>
                <w:rPr>
                  <w:color w:val="0000FF"/>
                </w:rPr>
                <w:t>N 248-п</w:t>
              </w:r>
            </w:hyperlink>
            <w:r>
              <w:rPr>
                <w:color w:val="392C69"/>
              </w:rPr>
              <w:t xml:space="preserve">, от 06.03.2023 </w:t>
            </w:r>
            <w:hyperlink r:id="rId38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 xml:space="preserve">, от 18.05.2023 </w:t>
            </w:r>
            <w:hyperlink r:id="rId39">
              <w:r>
                <w:rPr>
                  <w:color w:val="0000FF"/>
                </w:rPr>
                <w:t>N 153-п</w:t>
              </w:r>
            </w:hyperlink>
            <w:r>
              <w:rPr>
                <w:color w:val="392C69"/>
              </w:rPr>
              <w:t>,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40">
              <w:r>
                <w:rPr>
                  <w:color w:val="0000FF"/>
                </w:rPr>
                <w:t>N 231-п</w:t>
              </w:r>
            </w:hyperlink>
            <w:r>
              <w:rPr>
                <w:color w:val="392C69"/>
              </w:rPr>
              <w:t xml:space="preserve">, от 29.03.2024 </w:t>
            </w:r>
            <w:hyperlink r:id="rId41">
              <w:r>
                <w:rPr>
                  <w:color w:val="0000FF"/>
                </w:rPr>
                <w:t>N 64-п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C57" w:rsidRDefault="00E67C57">
            <w:pPr>
              <w:pStyle w:val="ConsPlusNormal"/>
            </w:pPr>
          </w:p>
        </w:tc>
      </w:tr>
    </w:tbl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  <w:r>
        <w:t xml:space="preserve">В соответствии со </w:t>
      </w:r>
      <w:hyperlink r:id="rId42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43">
        <w:r>
          <w:rPr>
            <w:color w:val="0000FF"/>
          </w:rPr>
          <w:t>Порядком</w:t>
        </w:r>
      </w:hyperlink>
      <w:r>
        <w:t xml:space="preserve"> разработки, реализации и оценки эффективности государственных программ Ненецкого автономного округа, утвержденным постановлением Администрации Ненецкого автономного округа от 01.08.2023 N 225-п, Администрация Ненецкого автономного округа постановляет:</w:t>
      </w:r>
    </w:p>
    <w:p w:rsidR="00E67C57" w:rsidRDefault="00E67C57">
      <w:pPr>
        <w:pStyle w:val="ConsPlusNormal"/>
        <w:jc w:val="both"/>
      </w:pPr>
      <w:r>
        <w:t xml:space="preserve">(преамбула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НАО от 29.03.2024 N 64-п)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1. Утвердить государственную </w:t>
      </w:r>
      <w:hyperlink w:anchor="P50">
        <w:r>
          <w:rPr>
            <w:color w:val="0000FF"/>
          </w:rPr>
          <w:t>программу</w:t>
        </w:r>
      </w:hyperlink>
      <w:r>
        <w:t xml:space="preserve"> Ненецкого автономного округа "Обеспечение общественного порядка, противодействие преступности, терроризму, экстремизму и коррупции в Ненецком автономном округе" согласно Приложению к настоящему постановлению.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jc w:val="right"/>
      </w:pPr>
      <w:r>
        <w:t>Первый заместитель</w:t>
      </w:r>
    </w:p>
    <w:p w:rsidR="00E67C57" w:rsidRDefault="00E67C57">
      <w:pPr>
        <w:pStyle w:val="ConsPlusNormal"/>
        <w:jc w:val="right"/>
      </w:pPr>
      <w:r>
        <w:t>главы Администрации</w:t>
      </w:r>
    </w:p>
    <w:p w:rsidR="00E67C57" w:rsidRDefault="00E67C57">
      <w:pPr>
        <w:pStyle w:val="ConsPlusNormal"/>
        <w:jc w:val="right"/>
      </w:pPr>
      <w:r>
        <w:t>Ненецкого автономного округа</w:t>
      </w:r>
    </w:p>
    <w:p w:rsidR="00E67C57" w:rsidRDefault="00E67C57">
      <w:pPr>
        <w:pStyle w:val="ConsPlusNormal"/>
        <w:jc w:val="right"/>
      </w:pPr>
      <w:r>
        <w:t>А.Ю.ШАНЬГИН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jc w:val="right"/>
        <w:outlineLvl w:val="0"/>
      </w:pPr>
      <w:r>
        <w:t>Приложение</w:t>
      </w:r>
    </w:p>
    <w:p w:rsidR="00E67C57" w:rsidRDefault="00E67C57">
      <w:pPr>
        <w:pStyle w:val="ConsPlusNormal"/>
        <w:jc w:val="right"/>
      </w:pPr>
      <w:r>
        <w:t>к постановлению Администрации</w:t>
      </w:r>
    </w:p>
    <w:p w:rsidR="00E67C57" w:rsidRDefault="00E67C57">
      <w:pPr>
        <w:pStyle w:val="ConsPlusNormal"/>
        <w:jc w:val="right"/>
      </w:pPr>
      <w:r>
        <w:t>Ненецкого автономного округа</w:t>
      </w:r>
    </w:p>
    <w:p w:rsidR="00E67C57" w:rsidRDefault="00E67C57">
      <w:pPr>
        <w:pStyle w:val="ConsPlusNormal"/>
        <w:jc w:val="right"/>
      </w:pPr>
      <w:r>
        <w:t>от 30.10.2013 N 378-п</w:t>
      </w:r>
    </w:p>
    <w:p w:rsidR="00E67C57" w:rsidRDefault="00E67C57">
      <w:pPr>
        <w:pStyle w:val="ConsPlusNormal"/>
        <w:jc w:val="right"/>
      </w:pPr>
      <w:r>
        <w:lastRenderedPageBreak/>
        <w:t xml:space="preserve">"Об утверждении </w:t>
      </w:r>
      <w:proofErr w:type="gramStart"/>
      <w:r>
        <w:t>государственной</w:t>
      </w:r>
      <w:proofErr w:type="gramEnd"/>
    </w:p>
    <w:p w:rsidR="00E67C57" w:rsidRDefault="00E67C57">
      <w:pPr>
        <w:pStyle w:val="ConsPlusNormal"/>
        <w:jc w:val="right"/>
      </w:pPr>
      <w:r>
        <w:t xml:space="preserve">программы </w:t>
      </w:r>
      <w:proofErr w:type="gramStart"/>
      <w:r>
        <w:t>Ненецкого</w:t>
      </w:r>
      <w:proofErr w:type="gramEnd"/>
      <w:r>
        <w:t xml:space="preserve"> автономного</w:t>
      </w:r>
    </w:p>
    <w:p w:rsidR="00E67C57" w:rsidRDefault="00E67C57">
      <w:pPr>
        <w:pStyle w:val="ConsPlusNormal"/>
        <w:jc w:val="right"/>
      </w:pPr>
      <w:r>
        <w:t>округа "Обеспечение общественного</w:t>
      </w:r>
    </w:p>
    <w:p w:rsidR="00E67C57" w:rsidRDefault="00E67C57">
      <w:pPr>
        <w:pStyle w:val="ConsPlusNormal"/>
        <w:jc w:val="right"/>
      </w:pPr>
      <w:r>
        <w:t>порядка, противодействие преступности,</w:t>
      </w:r>
    </w:p>
    <w:p w:rsidR="00E67C57" w:rsidRDefault="00E67C57">
      <w:pPr>
        <w:pStyle w:val="ConsPlusNormal"/>
        <w:jc w:val="right"/>
      </w:pPr>
      <w:r>
        <w:t>терроризму, экстремизму и коррупции</w:t>
      </w:r>
    </w:p>
    <w:p w:rsidR="00E67C57" w:rsidRDefault="00E67C57">
      <w:pPr>
        <w:pStyle w:val="ConsPlusNormal"/>
        <w:jc w:val="right"/>
      </w:pPr>
      <w:r>
        <w:t>в Ненецком автономном округе"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Title"/>
        <w:jc w:val="center"/>
      </w:pPr>
      <w:bookmarkStart w:id="1" w:name="P50"/>
      <w:bookmarkEnd w:id="1"/>
      <w:r>
        <w:t>ГОСУДАРСТВЕННАЯ ПРОГРАММА</w:t>
      </w:r>
    </w:p>
    <w:p w:rsidR="00E67C57" w:rsidRDefault="00E67C57">
      <w:pPr>
        <w:pStyle w:val="ConsPlusTitle"/>
        <w:jc w:val="center"/>
      </w:pPr>
      <w:r>
        <w:t>НЕНЕЦКОГО АВТОНОМНОГО ОКРУГА "ОБЕСПЕЧЕНИЕ ОБЩЕСТВЕННОГО</w:t>
      </w:r>
    </w:p>
    <w:p w:rsidR="00E67C57" w:rsidRDefault="00E67C57">
      <w:pPr>
        <w:pStyle w:val="ConsPlusTitle"/>
        <w:jc w:val="center"/>
      </w:pPr>
      <w:r>
        <w:t>ПОРЯДКА, ПРОТИВОДЕЙСТВИЕ ПРЕСТУПНОСТИ, ТЕРРОРИЗМУ,</w:t>
      </w:r>
    </w:p>
    <w:p w:rsidR="00E67C57" w:rsidRDefault="00E67C57">
      <w:pPr>
        <w:pStyle w:val="ConsPlusTitle"/>
        <w:jc w:val="center"/>
      </w:pPr>
      <w:r>
        <w:t>ЭКСТРЕМИЗМУ И КОРРУПЦИИ В НЕНЕЦКОМ АВТОНОМНОМ ОКРУГЕ"</w:t>
      </w:r>
    </w:p>
    <w:p w:rsidR="00E67C57" w:rsidRDefault="00E67C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67C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C57" w:rsidRDefault="00E67C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C57" w:rsidRDefault="00E67C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67C57" w:rsidRDefault="00E67C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НАО от 29.03.2024 N 64-п)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67C57" w:rsidRDefault="00E67C57">
            <w:pPr>
              <w:pStyle w:val="ConsPlusNormal"/>
            </w:pPr>
          </w:p>
        </w:tc>
      </w:tr>
    </w:tbl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Title"/>
        <w:jc w:val="center"/>
        <w:outlineLvl w:val="1"/>
      </w:pPr>
      <w:r>
        <w:t>Раздел I</w:t>
      </w:r>
    </w:p>
    <w:p w:rsidR="00E67C57" w:rsidRDefault="00E67C57">
      <w:pPr>
        <w:pStyle w:val="ConsPlusTitle"/>
        <w:jc w:val="center"/>
      </w:pPr>
      <w:r>
        <w:t>Общие положения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Государственная программа Ненецкого автономного округа "Обеспечение общественного порядка, противодействие преступности, терроризму, экстремизму и коррупции в Ненецком автономном округе" (далее - Программа) разработана в соответствии с Бюджетным </w:t>
      </w:r>
      <w:hyperlink r:id="rId46">
        <w:r>
          <w:rPr>
            <w:color w:val="0000FF"/>
          </w:rPr>
          <w:t>кодексом</w:t>
        </w:r>
      </w:hyperlink>
      <w:r>
        <w:t xml:space="preserve"> Российской Федерации, Федеральным законом от 28.06.2014 N 172-ФЗ "О стратегическом планировании в Российской Федерации" и </w:t>
      </w:r>
      <w:hyperlink r:id="rId47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01.08.2023 N 225-п "Об утверждении Порядка разработки, реализации и оценки эффективности государственных программ</w:t>
      </w:r>
      <w:proofErr w:type="gramEnd"/>
      <w:r>
        <w:t xml:space="preserve"> Ненецкого автономного округа".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2. Срок реализации Программы с 2014 по 2030 годы.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3. Ответственный исполнитель Программы - Аппарат Администрации Ненецкого автономного округа.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Title"/>
        <w:jc w:val="center"/>
        <w:outlineLvl w:val="1"/>
      </w:pPr>
      <w:r>
        <w:t>Раздел II</w:t>
      </w:r>
    </w:p>
    <w:p w:rsidR="00E67C57" w:rsidRDefault="00E67C57">
      <w:pPr>
        <w:pStyle w:val="ConsPlusTitle"/>
        <w:jc w:val="center"/>
      </w:pPr>
      <w:r>
        <w:t>Стратегические приоритеты в сфере реализации Программы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  <w:outlineLvl w:val="2"/>
      </w:pPr>
      <w:r>
        <w:t>Глава 1. Оценка текущего состояния сферы реализации Программы на территории Ненецкого автономного округа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  <w:r>
        <w:t>4. Программа реализуется в целях укрепления общественного порядка на территории Ненецкого автономного округа, обеспечения общественной безопасности граждан, противодействия преступности, безопасности дорожного движения, снижения уровня коррупции и повышения антикоррупционного сознания граждан, а также в целях создания условий для осуществления мер по противодействию терроризму.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Аппарат Администрации Ненецкого автономного округа, а также исполнительные органы Ненецкого автономного округа осуществляют свою деятельность во взаимодействии с территориальными органами федеральных органов исполнительной власти, органами местного самоуправления муниципальных образований Ненецкого автономного округа, должностными лицами, организациями и гражданами.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5. В целях создания условий для безопасной жизнедеятельности населения в Ненецком автономном округе осуществляется комплекс мер по внедрению современных информационных технологий при организации систем безопасности, в том числе реализуются мероприятия по построению и развитию аппаратно-программного комплекса "Безопасный город" (далее - АПК "Безопасный город").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lastRenderedPageBreak/>
        <w:t>Целью построения и развития АПК "Безопасный город" является повышение уровня безопасности по основным направлениям жизнедеятельности населения округа, в том числе антитеррористической защищенности мест массового пребывания граждан, объектов различных степеней важности, а также повышение оперативности работы правоохранительных органов.</w:t>
      </w:r>
    </w:p>
    <w:p w:rsidR="00E67C57" w:rsidRDefault="00E67C57">
      <w:pPr>
        <w:pStyle w:val="ConsPlusNormal"/>
        <w:spacing w:before="220"/>
        <w:ind w:firstLine="540"/>
        <w:jc w:val="both"/>
      </w:pPr>
      <w:proofErr w:type="gramStart"/>
      <w:r>
        <w:t>По вопросам реализации в Ненецком автономном округе приоритетных направлений развития правоохранительного сегмента АПК "Безопасный город" на региональном уровне налажено эффективное межведомственное взаимодействие с Управлением Министерства внутренних дел России по Ненецкому автономному округу (далее - УМВД России по Ненецкому автономному округу) в рамках заседаний межведомственной рабочей группы Ненецкого автономного округа по построению и развитию АПК "Безопасный город", которые проводятся на регулярной основе</w:t>
      </w:r>
      <w:proofErr w:type="gramEnd"/>
      <w:r>
        <w:t>. В ходе заседаний, в частности, рассматриваются вопросы реализации мероприятий по расширению подсистемы видеонаблюдения правоохранительного сегмента АПК "Безопасный город" и повышению эффективности использования устройств "Гражданин-полиция".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В 2023 году проведено 2 заседания межведомственной рабочей группы Ненецкого автономного округа по построению и развитию АПК "Безопасный город", в рамках которых проработаны корректировки </w:t>
      </w:r>
      <w:proofErr w:type="gramStart"/>
      <w:r>
        <w:t>плана расширения подсистемы видеонаблюдения правоохранительного сегмента</w:t>
      </w:r>
      <w:proofErr w:type="gramEnd"/>
      <w:r>
        <w:t xml:space="preserve"> АПК "Безопасный город" с учетом бюджетного цикла 2024 года и планового периода 2025 и 2026 годов.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В настоящее время в правоохранительный сегмент АПК "Безопасный город" входит 73 видеокамеры, 28 устройств "Гражданин-полиция", 19 постов контроля дорожного движения.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По данным правоохранительных органов в 2023 году отмечалось снижение в Ненецком автономном округе криминальной напряженности. Так, в 2023 году статистика показывала улучшение по сравнению с 2022 годом таких показателей как: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раскрываемость преступлений - повысилась на 0,7 процента;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число зарегистрированных наиболее опасных деяний против личности, таких как убийства - снизилось на 33,3 процента;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умышленное причинение тяжкого вреда здоровью - снизилось на 16,7 процента;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преступления, совершенные с использованием оружия - снизилось на 100 процентов;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разбойные нападения в 2022 - 2023 годах не зарегистрированы.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Несмотря на системную работу УМВД России по Ненецкому автономному округу по информированию граждан о существующих случаях и способах дистанционных мошенничеств, значительно возрастает количество зарегистрированных на территории Ненецкого автономного округа преступлений, совершенных с использованием информационно-телекоммуникационных технологий. В 2023 году зарегистрировано 333 преступления, совершенных с использованием информационно-телекоммуникационных технологий, что на 154,2 процента больше, чем в 2022 году. Отмечается рост числа мошенничеств в 2023 году на 92,6 процента по отношению к 2022 году, краж - на 1,1 процента, грабежей - на 50 процентов.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Меры, предпринимаемые УМВД России по Ненецкому автономному округу во взаимодействии с органами государственной власти Ненецкого автономного округа, способствуют укреплению законности и правопорядка в регионе.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Информирование населения о принимаемых мерах, в совокупности с мероприятиями по укреплению общественного доверия, позволили Ненецкому автономному округу войти в группу регионов нашей страны с очень высоким уровнем защищенности от преступных посягательств, </w:t>
      </w:r>
      <w:r>
        <w:lastRenderedPageBreak/>
        <w:t>личных и имущественных интересов.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Вместе с тем преступность является социальным явлением, порождаемым множеством различных факторов. По этой причине возможные сценарии развития криминальной ситуации в России в долгосрочной перспективе зависят, в первую очередь, от развития ситуации в идеологической, политической, социально-экономической сферах и не могут в полной мере регулироваться только мероприятиями, реализуемыми в рамках Программы.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6. В рамках реализации Программы проводится работа по приему от населения на возмездной основе незаконно хранящихся предметов вооружения. Выплата денежного вознаграждения гражданам, добровольно сдавшим незаконно хранящееся оружие и боеприпасы, является расходным обязательством Ненецкого автономного округа и исполняется за счет и в пределах средств окружного бюджета.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Прием незаконно хранящегося оружия, боеприпасов, взрывчатых веществ и взрывных устройств осуществляется УМВД России по Ненецкому автономному округу и Управлением Федеральной службы войск национальной гвардии Российской Федерации по Ненецкому автономному округу. Выплата вознаграждения осуществляется государственным казенным учреждением Ненецкого автономного округа "Отделение социальной защиты населения".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Нередко преступления совершаются с использованием утраченного оружия, находящегося в незаконном обороте. Реализация мероприятий по приему от населения на возмездной основе незаконно хранящихся предметов вооружения способствует предотвращению потенциальной опасности бесконтрольного хранения, ношения, перевозки, транспортировки и использования гражданами оружия. Это, в свою очередь, отражается на количестве преступлений, совершенных с использованием оружия. В 2023 году в Ненецком автономном округе число таких преступлений снизилось на 100 процентов по отношению к 2022 году.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 соответствии с </w:t>
      </w:r>
      <w:hyperlink r:id="rId48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29.11.2023 N 331-п "Об утверждении Положения о порядке и условиях предоставления ежемесячной денежной выплаты отдельным категориям сотрудников правоохранительных органов и вневедомственной охраны в Ненецком автономном округе" в целях усиления охраны общественного порядка и обеспечения общественной безопасности отдельным категориям сотрудников правоохранительных органов и вневедомственной охраны в Ненецком автономном округе предоставляется ежемесячная денежная</w:t>
      </w:r>
      <w:proofErr w:type="gramEnd"/>
      <w:r>
        <w:t xml:space="preserve"> выплата.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8. В рамках реализации мероприятия "Предоставление гражданам, страдающим наркологическими заболеваниями, сертификатов на оплату услуг по социальной реабилитации и ресоциализации" Департаментом здравоохранения, труда и социальной защиты населения Ненецкого автономного округа предоставляются сертификаты на оплату услуг по социальной реабилитации и ресоциализации гражданам, страдающим наркологическими заболеваниями.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Налажена работа по проведению стационарного этапа социальной реабилитации жителей округа за пределами региона посредством выдачи сертификатов на получение услуг (Автономная некоммерческая организация "Реабилитационный Центр "Ручей", Псковская область).</w:t>
      </w:r>
    </w:p>
    <w:p w:rsidR="00E67C57" w:rsidRDefault="00E67C57">
      <w:pPr>
        <w:pStyle w:val="ConsPlusNormal"/>
        <w:spacing w:before="220"/>
        <w:ind w:firstLine="540"/>
        <w:jc w:val="both"/>
      </w:pPr>
      <w:proofErr w:type="gramStart"/>
      <w:r>
        <w:t>В 2023 году выдано 11 направлений для получения гарантийных писем на прохождение стационарной социальной реабилитации в Автономной некоммерческой организации "Реабилитационный Центр "Ручей" в деревне Родовое Палкинского района Псковской области (организация включена в Реестр негосударственных реабилитационных центров, прошедших квалификационный отбор в соответствии с критериями оценки качества услуг по социальной реабилитации и ресоциализации лиц, допускающих незаконное потребление наркотических средств и психотропных веществ).</w:t>
      </w:r>
      <w:proofErr w:type="gramEnd"/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Вместе с тем, отмечается недостаточный уровень обращаемости жителей округа за </w:t>
      </w:r>
      <w:r>
        <w:lastRenderedPageBreak/>
        <w:t xml:space="preserve">получением сертификата. Причинами являются наличие социальных последствий при обращении за </w:t>
      </w:r>
      <w:proofErr w:type="gramStart"/>
      <w:r>
        <w:t>сертификатом</w:t>
      </w:r>
      <w:proofErr w:type="gramEnd"/>
      <w:r>
        <w:t xml:space="preserve"> таких как постановка обратившегося на учет, ограничение прав на управление транспортным средством, запрет на владение оружием и другое.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9. Департаментом образования, культуры и спорта Ненецкого автономного округа организована реализация мероприятий, направленных на обеспечение безопасности дорожного движения и предотвращение детского дорожно-транспортного травматизма, исполнителями которых являются подведомственные учреждения. На сегодняшний день проблема транспортного травматизма подростков и детей на дорогах является чрезвычайно актуальной. Основными причинами детского дорожно-транспортного травматизма являются незнание и нарушение правил дорожного движения, неправильное поведение на улице и детская безнадзорность. Основная задача взрослых воспитать из сегодняшних школьников грамотных и дисциплинированных участников дорожного движения.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В области профилактики детского дорожно-транспортного травматизма и безопасности дорожного движения в 2023 были проведены следующие мероприятия с участием детей и подростков: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приобретение и распространение продукции по пропаганде и соблюдению правил дорожного движения для обучающихся первых классов, в рамках которого закуплен 751 комплект наборов световозвращающих элементов (наклейка, брелок, браслет, блокнот "Памятка юного пешехода", буклет "Дорожные уроки");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изготовление и распространение световозвращающих приспособлений в среде дошкольников и обучающихся младших классов образовательных организаций, в рамках которых закуплено 2 966 световозвращающих наклеек в форме круга для крепления на одежду, сумку, велосипед с целью улучшения их видимости водителем в темное время суток и при недостаточном освещении; наклейки предназначены для выдачи воспитанникам подготовительных групп детских садов и обучающимся начальных классов образовательных организаций, расположенных на территории г. Нарьян-Мара и п. Искателей;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проведение регионального этапа и участие во Всероссийском этапе конкурса "Безопасное колесо", целью которого является воспитание законопослушных участников дорожного движения и сокращение детского дорожно-транспортного травматизма и предотвращение правонарушений с участием детей;</w:t>
      </w:r>
    </w:p>
    <w:p w:rsidR="00E67C57" w:rsidRDefault="00E67C57">
      <w:pPr>
        <w:pStyle w:val="ConsPlusNormal"/>
        <w:spacing w:before="220"/>
        <w:ind w:firstLine="540"/>
        <w:jc w:val="both"/>
      </w:pPr>
      <w:proofErr w:type="gramStart"/>
      <w:r>
        <w:t>проведение конкурса на лучшую образовательную организацию по профилактике детского дорожно-транспортного травматизма, целью которого является активизация деятельности образовательных учреждений по обучению детей правилам безопасного поведения на дорогах, профилактика детского дорожно-транспортного травматизма и повышение навыков обучающихся общеобразовательных учреждений в области безопасности дорожного движения; обучение детей правилам безопасного поведения на дороге может уменьшить тяжелые последствия и возможность попадания их в дорожно-транспортные происшествия;</w:t>
      </w:r>
      <w:proofErr w:type="gramEnd"/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материально-техническое обеспечение мероприятий по профилактике детского дорожно-транспортного травматизма, в рамках которого приобретаются светоотражающие </w:t>
      </w:r>
      <w:proofErr w:type="gramStart"/>
      <w:r>
        <w:t>слеп-браслеты</w:t>
      </w:r>
      <w:proofErr w:type="gramEnd"/>
      <w:r>
        <w:t>, светоотражающие сигнальные жилеты, обеспечивающие видимость пешехода в темное время суток.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 Ненецком автономном округе реализуется комплекс мер, направленных на координацию усилий правоохранительных органов и учреждений системы профилактики в целях защиты прав и законных интересов несовершеннолетних, их трудового и бытового устройства, организации занятости, отдыха и досуга детей и подростков, профилактики семейного неблагополучия, устранения причин и условий, способствующих безнадзорности и совершению правонарушений несовершеннолетними.</w:t>
      </w:r>
      <w:proofErr w:type="gramEnd"/>
    </w:p>
    <w:p w:rsidR="00E67C57" w:rsidRDefault="00E67C57">
      <w:pPr>
        <w:pStyle w:val="ConsPlusNormal"/>
        <w:spacing w:before="220"/>
        <w:ind w:firstLine="540"/>
        <w:jc w:val="both"/>
      </w:pPr>
      <w:r>
        <w:lastRenderedPageBreak/>
        <w:t>В 2023 году государственным бюджетным учреждением социального обслуживания населения Ненецкого автономного округа "Комплексный центр социального обслуживания" выявлено и поставлено на учет 107 семей, находящихся в социально опасном положении, поступило и отработано 69 сигналов о фактах социального неблагополучия несовершеннолетних или семей.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Субъектами профилактики осуществляется контроль семей, находящихся в социально опасном положении, с родителями проводятся профилактические беседы, оказывается материальная и психологическая поддержка, содействие в лечении от алкогольной зависимости. Индивидуальная профилактическая работа может проводиться не только с несовершеннолетними и их родителями или законными представителями, но и с иными лицами (близкие родственники детей (родные братья и сестры, бабушки, дедушки)), проживающими совместно с несовершеннолетним, а также с лицами, не являющимися близкими родственниками, проживающими совместно с несовершеннолетним.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Основными задачами межведомственного взаимодействия являются: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выявление, учет и организация индивидуальной профилактической работы в отношении несовершеннолетних и (или) семей, находящихся в социально опасном положении;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своевременное выявление и устранение причин и условий, способствующих безнадзорности детей и подростков, совершению правонарушений и антиобщественных действий несовершеннолетними;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координация действий органов и учреждений системы профилактики безнадзорности и правонарушений несовершеннолетних на территории Ненецкого автономного округа по оказанию своевременной помощи несовершеннолетним и (или) семьям, находящимся в социально опасном положении.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Реализация мероприятий Программы позволяет скоординировать действия субъектов профилактики безнадзорности и правонарушений несовершеннолетних, повысить уровень педагогической компетенции, активизировать профилактическую работу с детьми и их родителями на самых ранних стадиях неблагополучия с целью оказания своевременной помощи, снизить уровень детской преступности.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11. В целях снижения количества правонарушений со стороны несовершеннолетних, в том числе против собственности, во взаимодействии с представителями правоохранительных органов и учреждений системы профилактики проведены следующие комплексные мероприятия: "Семья", "Комендантский час", "Подросток", "Твой выбор", "Последний звонок", "Защита", "Профилактика". Благодаря предпринимаемым мерам наблюдается снижение уголовно-наказуемых деяний, совершенных несовершеннолетними или при их участии - на 4,8 процента в 2023 году по отношению к уровню 2022 года.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12. В целях профилактики терроризма и экстремизма в Ненецком автономном округе в 2023 году Департаментом цифрового развития, связи и массовых коммуникаций Ненецкого автономного округа в рамках мероприятий Программы обеспечена поставка (включая установку, монтаж, наладку и введение в эксплуатацию) системы контроля и управления доступом в трех образовательных учреждениях Ненецкого автономного округа.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13. Департаментом строительства, жилищно-коммунального хозяйства, энергетики и транспорта Ненецкого автономного округа организована реализация мероприятий в сфере обеспечения безопасности дорожного движения, включая установку, замену и содержание автоматизированных систем комплексов фотовидеофиксации.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Применение системы фотовидеофиксации является одним из эффективных способов осуществления анализа аварийности, выявления типичных нарушений для контролируемого </w:t>
      </w:r>
      <w:r>
        <w:lastRenderedPageBreak/>
        <w:t>участка, которые напрямую влияют на риски возникновения дорожно-транспортных происшествий, и последующего контроля в приоритете именно за данным видом правонарушений.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Развитие системы фотовидеофиксации позволит существенно повысить снижение аварийности на дорогах Ненецкого автономного округа.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14. В рамках Программы Аппаратом Администрации Ненецкого автономного округа реализуются мероприятия по финансовому обеспечению переданных полномочий:</w:t>
      </w:r>
    </w:p>
    <w:p w:rsidR="00E67C57" w:rsidRDefault="00E67C57">
      <w:pPr>
        <w:pStyle w:val="ConsPlusNormal"/>
        <w:spacing w:before="220"/>
        <w:ind w:firstLine="540"/>
        <w:jc w:val="both"/>
      </w:pPr>
      <w:proofErr w:type="gramStart"/>
      <w:r>
        <w:t>1) по составлению протоколов об административных правонарушениях, посягающих на общественный порядок и общественную безопасность УМВД России по Ненецкому автономному округу (предоставление субвенции федеральному бюджету в рамках Соглашения между Министерством внутренних дел Российской Федерации и Администрацией Ненецкого автономного округа о передаче Министерству внутренних дел Российской Федерации части полномочий по составлению протоколов об административных правонарушениях, посягающих на общественный порядок и общественную безопасность</w:t>
      </w:r>
      <w:proofErr w:type="gramEnd"/>
      <w:r>
        <w:t xml:space="preserve">, </w:t>
      </w:r>
      <w:proofErr w:type="gramStart"/>
      <w:r>
        <w:t xml:space="preserve">предусмотренных </w:t>
      </w:r>
      <w:hyperlink r:id="rId49">
        <w:r>
          <w:rPr>
            <w:color w:val="0000FF"/>
          </w:rPr>
          <w:t>законом</w:t>
        </w:r>
      </w:hyperlink>
      <w:r>
        <w:t xml:space="preserve"> Ненецкого автономного округа от 29.06.2002 N 366-ОЗ "Об административных правонарушениях");</w:t>
      </w:r>
      <w:proofErr w:type="gramEnd"/>
    </w:p>
    <w:p w:rsidR="00E67C57" w:rsidRDefault="00E67C57">
      <w:pPr>
        <w:pStyle w:val="ConsPlusNormal"/>
        <w:spacing w:before="220"/>
        <w:ind w:firstLine="540"/>
        <w:jc w:val="both"/>
      </w:pPr>
      <w:proofErr w:type="gramStart"/>
      <w:r>
        <w:t xml:space="preserve">2) на осуществление отдельных государственных полномочий Ненецкого автономного округа в сфере административных правонарушений (предоставление субвенций местным бюджетам в соответствии со </w:t>
      </w:r>
      <w:hyperlink r:id="rId50">
        <w:r>
          <w:rPr>
            <w:color w:val="0000FF"/>
          </w:rPr>
          <w:t>статьей 8</w:t>
        </w:r>
      </w:hyperlink>
      <w:r>
        <w:t xml:space="preserve"> закона Ненецкого автономного округа от 01.10.2009 N 59-ОЗ "Об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правонарушений").</w:t>
      </w:r>
      <w:proofErr w:type="gramEnd"/>
    </w:p>
    <w:p w:rsidR="00E67C57" w:rsidRDefault="00E67C57">
      <w:pPr>
        <w:pStyle w:val="ConsPlusNormal"/>
        <w:spacing w:before="220"/>
        <w:ind w:firstLine="540"/>
        <w:jc w:val="both"/>
      </w:pPr>
      <w:r>
        <w:t>15. В целях оценки уровня, структуры и специфики коррупции в Ненецком автономном округе, а также эффективности принимаемых антикоррупционных мер, Департаментом внутренней политики Ненецкого автономного округа ежегодно во всех муниципальных образованиях Ненецкого автономного округа организуется проведение социологического исследования по оценке населением эффективности государственной политики в сфере противодействия коррупции в Ненецком автономном округе.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Объектом исследования являются граждане Российской Федерации старше 18 лет, проживающие на территории Ненецкого автономного округа более 2 лет.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В 2023 году в исследовании, в котором приняли участие 500 респондентов, зафиксирован достаточно высокий уровень информированности опрошенных жителей и предпринимателей Ненецкого автономного округа о мерах, которые власти принимают для противодействия коррупции. Результаты исследования в целом свидетельствуют о достаточно высоком уровне эффективности антикоррупционной деятельности властей на территории Ненецкого автономного округа, но, тем не менее, в настоящее время коррупция остается одним из ключевых факторов, негативно влияющих на социально-экономическую и общественно-политическую ситуацию в Ненецком автономном округе.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  <w:outlineLvl w:val="2"/>
      </w:pPr>
      <w:r>
        <w:t>Глава 2. Приоритеты и цели государственной политики в сфере реализации Программы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  <w:r>
        <w:t>16. Приоритеты государственной политики в сфере реализации Программы определены в соответствии со следующими документами:</w:t>
      </w:r>
    </w:p>
    <w:p w:rsidR="00E67C57" w:rsidRDefault="00E67C57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Указом</w:t>
        </w:r>
      </w:hyperlink>
      <w:r>
        <w:t xml:space="preserve"> Президента Российской Федерации от 15.02.2006 N 116 "О мерах по противодействию терроризму";</w:t>
      </w:r>
    </w:p>
    <w:p w:rsidR="00E67C57" w:rsidRDefault="00E67C57">
      <w:pPr>
        <w:pStyle w:val="ConsPlusNormal"/>
        <w:spacing w:before="220"/>
        <w:ind w:firstLine="540"/>
        <w:jc w:val="both"/>
      </w:pPr>
      <w:hyperlink r:id="rId52">
        <w:r>
          <w:rPr>
            <w:color w:val="0000FF"/>
          </w:rPr>
          <w:t>Указом</w:t>
        </w:r>
      </w:hyperlink>
      <w:r>
        <w:t xml:space="preserve"> Президента Российской Федерации от 21.07.2020 N 474 "О национальных целях </w:t>
      </w:r>
      <w:r>
        <w:lastRenderedPageBreak/>
        <w:t>развития Российской Федерации на период до 2030 года";</w:t>
      </w:r>
    </w:p>
    <w:p w:rsidR="00E67C57" w:rsidRDefault="00E67C57">
      <w:pPr>
        <w:pStyle w:val="ConsPlusNormal"/>
        <w:spacing w:before="220"/>
        <w:ind w:firstLine="540"/>
        <w:jc w:val="both"/>
      </w:pPr>
      <w:hyperlink r:id="rId53">
        <w:r>
          <w:rPr>
            <w:color w:val="0000FF"/>
          </w:rPr>
          <w:t>Стратегией</w:t>
        </w:r>
      </w:hyperlink>
      <w:r>
        <w:t xml:space="preserve"> развития Арктической зоны Российской Федерации и обеспечения национальной безопасности на период до 2035 года, утвержденной Указом Президента Российской Федерации от 26.10.2020 N 645;</w:t>
      </w:r>
    </w:p>
    <w:p w:rsidR="00E67C57" w:rsidRDefault="00E67C57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Стратегией</w:t>
        </w:r>
      </w:hyperlink>
      <w:r>
        <w:t xml:space="preserve"> национальной безопасности Российской Федерации, утвержденной Указом Президента Российской Федерации от 02.07.2021 N 400;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24.06.1999 N 120-ФЗ "Об основах системы профилактики безнадзорности и правонарушений несовершеннолетних";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Российской Федерации от 06.03.2006 N 35-ФЗ "О противодействии терроризму";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Российской Федерации от 25.12.2008 N 273-ФЗ "О противодействии коррупции";</w:t>
      </w:r>
    </w:p>
    <w:p w:rsidR="00E67C57" w:rsidRDefault="00E67C57">
      <w:pPr>
        <w:pStyle w:val="ConsPlusNormal"/>
        <w:spacing w:before="220"/>
        <w:ind w:firstLine="540"/>
        <w:jc w:val="both"/>
      </w:pP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(территорий)";</w:t>
      </w:r>
    </w:p>
    <w:p w:rsidR="00E67C57" w:rsidRDefault="00E67C57">
      <w:pPr>
        <w:pStyle w:val="ConsPlusNormal"/>
        <w:spacing w:before="220"/>
        <w:ind w:firstLine="540"/>
        <w:jc w:val="both"/>
      </w:pPr>
      <w:hyperlink r:id="rId59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Ненецкого автономного округа до 2030 года, утвержденной постановлением Собрания депутатов Ненецкого автономного округа от 07.11.2019 N 256-сд.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17. Исходя из направлений государственной политики, содержащихся в указах Президента Российской Федерации, постановлениях Правительства Российской Федерации, федеральных законах, законах Ненецкого автономного округа, а также в документах стратегического планирования, сформулирована цель Программы - создание условий для безопасной жизнедеятельности в Ненецком автономном округе.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  <w:outlineLvl w:val="2"/>
      </w:pPr>
      <w:r>
        <w:t>Глава 3. Задачи государственного управления в сфере реализации Программы, способы их эффективного решения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  <w:r>
        <w:t>18. Для достижения цели Программы необходимо решить следующие задачи: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1) снизить уровень преступности на территории Ненецкого автономного округа;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2) повысить уровень оперативного реагирования на заявления и сообщения граждан о правонарушениях;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3) создать условия для социальной адаптации лиц, отказавшихся от потребления наркотических средств, психотропных веществ, от злоупотребления алкогольной продукцией, в том числе и лиц, освободившихся из мест лишения свободы, в Ненецком автономном округе;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4) организовать мероприятия, направленные на профилактику безопасности дорожного движения в Ненецком автономном округе;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5) обеспечить охрану объектов (территорий) образовательных организаций Ненецкого автономного округа;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6) обеспечить осуществление отдельных государственных полномочий Ненецкого автономного округа в сфере деятельности по профилактике безнадзорности и правонарушений </w:t>
      </w:r>
      <w:r>
        <w:lastRenderedPageBreak/>
        <w:t>несовершеннолетних;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7) обеспечить защиту прав несовершеннолетних, находящихся в трудной жизненной ситуации;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8) обеспечить профилактику безнадзорности и правонарушений несовершеннолетних;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9) организовать обучение для кандидатов в опекуны, приемные родители, усыновители по вопросам принятия ребенка в семью на правах воспитанника;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10) обеспечить профилактику правонарушений детей, оставшихся без попечения родителей, воспитывающихся в замещающих семьях;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11) обеспечить повышение </w:t>
      </w:r>
      <w:proofErr w:type="gramStart"/>
      <w:r>
        <w:t>уровня профессиональной компетентности специалистов сферы образования</w:t>
      </w:r>
      <w:proofErr w:type="gramEnd"/>
      <w:r>
        <w:t xml:space="preserve"> по вопросам методической работы по профилактике безнадзорности и правонарушений несовершеннолетних;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12) обеспечить осуществление отдельных государственных полномочий Ненецкого автономного округа в сфере административных правонарушений;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13) обеспечить 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14) обеспечить усиление охраны общественного порядка и обеспечение общественной безопасности;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15) повысить уровень информированности органов государственной власти.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19. Решение поставленных задач обеспечивается посредством реализации ряда мероприятий Программы: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1) техническое обслуживание и развитие АПК "Безопасный город";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2) предоставление гражданам выплаты за добровольную сдачу незаконно хранящегося оружия, боеприпасов, взрывчатых веществ и взрывных устройств;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3) предоставление гражданам, страдающим наркологическими заболеваниями, сертификатов на оплату услуг по социальной реабилитации и ресоциализации;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4) обеспечение безопасности дорожного движения;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5) обеспечение антитеррористической защищенности объектов (территорий) образовательных организаций Ненецкого автономного округа;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6) предоставление субвенций местным бюджетам на осуществление отдельных государственных полномочий Ненецкого автономного округа в сфере деятельности по профилактике безнадзорности и правонарушений несовершеннолетних;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7) обеспечение доставки и устройства детей-сирот, детей, оставшихся без попечения родителей, детей, нуждающихся в помощи государства, в соответствующие организации;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8) проведение акций, вечеров, праздников и других мероприятий для семей и детей, находящихся в социально-опасном положении;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9) проведение курсов повышения квалификации "Подготовка кандидатов в опекуны, приемные родители, усыновители";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lastRenderedPageBreak/>
        <w:t>10) проведение семинаров для опекунов, попечителей, приемных родителей по профилактике правонарушений детей, воспитывающихся в замещающих семьях;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11) проведение конкурса методических разработок, программ, проектов, направленных на профилактику безнадзорности и правонарушений несовершеннолетних в образовательных организациях;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12) предоставление субвенции федеральному бюджету на 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13) предоставление субвенций местным бюджетам на осуществление отдельных государственных полномочий Ненецкого автономного округа в сфере административных правонарушений;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14) предоставление денежной выплаты отдельным категориям сотрудников правоохранительных органов и вневедомственной охраны в Ненецком автономном округе;</w:t>
      </w:r>
    </w:p>
    <w:p w:rsidR="00E67C57" w:rsidRDefault="00E67C57">
      <w:pPr>
        <w:pStyle w:val="ConsPlusNormal"/>
        <w:spacing w:before="220"/>
        <w:ind w:firstLine="540"/>
        <w:jc w:val="both"/>
      </w:pPr>
      <w:r>
        <w:t>15) обеспечение программных мероприятий, направленных на формирование негативного отношения общества в целом к коррупционным проявлениям и повышение уровня образованности государственных служащих и работников государственных учреждений по вопросам противодействия коррупции в Ненецком автономном округе.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  <w:outlineLvl w:val="2"/>
      </w:pPr>
      <w:r>
        <w:t>Глава 4. Сведения о взаимосвязи с национальными целями, государственными программами Российской Федерации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  <w:r>
        <w:t xml:space="preserve">20. </w:t>
      </w:r>
      <w:proofErr w:type="gramStart"/>
      <w:r>
        <w:t xml:space="preserve">Реализация Программы в целом вносит вклад в достижение национальных целей развития Российской Федерации, определенных </w:t>
      </w:r>
      <w:hyperlink r:id="rId60">
        <w:r>
          <w:rPr>
            <w:color w:val="0000FF"/>
          </w:rPr>
          <w:t>Указом</w:t>
        </w:r>
      </w:hyperlink>
      <w:r>
        <w:t xml:space="preserve"> Президента Российской Федерации от 21.07.2020 N 474 "О национальных целях развития Российской Федерации на период до 2030 года", и реализацию стратегических приоритетов государственной политики в рамках государственной </w:t>
      </w:r>
      <w:hyperlink r:id="rId61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общественного порядка и противодействие преступности", утвержденной постановлением Правительства Российской Федерации от 15.04.2014 N 345.</w:t>
      </w:r>
      <w:proofErr w:type="gramEnd"/>
    </w:p>
    <w:p w:rsidR="00E67C57" w:rsidRDefault="00E67C57">
      <w:pPr>
        <w:pStyle w:val="ConsPlusNormal"/>
        <w:spacing w:before="220"/>
        <w:ind w:firstLine="540"/>
        <w:jc w:val="both"/>
      </w:pPr>
      <w:r>
        <w:t xml:space="preserve">21. Непосредственная связь целей, показателей, мероприятий Программы с конкретными целями и показателями государственной </w:t>
      </w:r>
      <w:hyperlink r:id="rId62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общественного порядка и противодействие преступности" не установлена.</w:t>
      </w: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ind w:firstLine="540"/>
        <w:jc w:val="both"/>
      </w:pPr>
    </w:p>
    <w:p w:rsidR="00E67C57" w:rsidRDefault="00E67C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0D3A" w:rsidRDefault="008A0D3A"/>
    <w:sectPr w:rsidR="008A0D3A" w:rsidSect="0002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57"/>
    <w:rsid w:val="008A0D3A"/>
    <w:rsid w:val="00E6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C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7C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67C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C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7C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67C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26968&amp;dst=100005" TargetMode="External"/><Relationship Id="rId18" Type="http://schemas.openxmlformats.org/officeDocument/2006/relationships/hyperlink" Target="https://login.consultant.ru/link/?req=doc&amp;base=RLAW913&amp;n=30598&amp;dst=100005" TargetMode="External"/><Relationship Id="rId26" Type="http://schemas.openxmlformats.org/officeDocument/2006/relationships/hyperlink" Target="https://login.consultant.ru/link/?req=doc&amp;base=RLAW913&amp;n=36795&amp;dst=100005" TargetMode="External"/><Relationship Id="rId39" Type="http://schemas.openxmlformats.org/officeDocument/2006/relationships/hyperlink" Target="https://login.consultant.ru/link/?req=doc&amp;base=RLAW913&amp;n=55886&amp;dst=100005" TargetMode="External"/><Relationship Id="rId21" Type="http://schemas.openxmlformats.org/officeDocument/2006/relationships/hyperlink" Target="https://login.consultant.ru/link/?req=doc&amp;base=RLAW913&amp;n=32300&amp;dst=100005" TargetMode="External"/><Relationship Id="rId34" Type="http://schemas.openxmlformats.org/officeDocument/2006/relationships/hyperlink" Target="https://login.consultant.ru/link/?req=doc&amp;base=RLAW913&amp;n=50047&amp;dst=100005" TargetMode="External"/><Relationship Id="rId42" Type="http://schemas.openxmlformats.org/officeDocument/2006/relationships/hyperlink" Target="https://login.consultant.ru/link/?req=doc&amp;base=LAW&amp;n=470713&amp;dst=103280" TargetMode="External"/><Relationship Id="rId47" Type="http://schemas.openxmlformats.org/officeDocument/2006/relationships/hyperlink" Target="https://login.consultant.ru/link/?req=doc&amp;base=RLAW913&amp;n=57634" TargetMode="External"/><Relationship Id="rId50" Type="http://schemas.openxmlformats.org/officeDocument/2006/relationships/hyperlink" Target="https://login.consultant.ru/link/?req=doc&amp;base=RLAW913&amp;n=54924&amp;dst=100077" TargetMode="External"/><Relationship Id="rId55" Type="http://schemas.openxmlformats.org/officeDocument/2006/relationships/hyperlink" Target="https://login.consultant.ru/link/?req=doc&amp;base=LAW&amp;n=431870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13&amp;n=20621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13&amp;n=29413&amp;dst=100005" TargetMode="External"/><Relationship Id="rId20" Type="http://schemas.openxmlformats.org/officeDocument/2006/relationships/hyperlink" Target="https://login.consultant.ru/link/?req=doc&amp;base=RLAW913&amp;n=31897&amp;dst=100005" TargetMode="External"/><Relationship Id="rId29" Type="http://schemas.openxmlformats.org/officeDocument/2006/relationships/hyperlink" Target="https://login.consultant.ru/link/?req=doc&amp;base=RLAW913&amp;n=41843&amp;dst=100005" TargetMode="External"/><Relationship Id="rId41" Type="http://schemas.openxmlformats.org/officeDocument/2006/relationships/hyperlink" Target="https://login.consultant.ru/link/?req=doc&amp;base=RLAW913&amp;n=58488&amp;dst=100005" TargetMode="External"/><Relationship Id="rId54" Type="http://schemas.openxmlformats.org/officeDocument/2006/relationships/hyperlink" Target="https://login.consultant.ru/link/?req=doc&amp;base=LAW&amp;n=389271&amp;dst=100013" TargetMode="External"/><Relationship Id="rId62" Type="http://schemas.openxmlformats.org/officeDocument/2006/relationships/hyperlink" Target="https://login.consultant.ru/link/?req=doc&amp;base=LAW&amp;n=458506&amp;dst=279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20429&amp;dst=100024" TargetMode="External"/><Relationship Id="rId11" Type="http://schemas.openxmlformats.org/officeDocument/2006/relationships/hyperlink" Target="https://login.consultant.ru/link/?req=doc&amp;base=RLAW913&amp;n=23575&amp;dst=100005" TargetMode="External"/><Relationship Id="rId24" Type="http://schemas.openxmlformats.org/officeDocument/2006/relationships/hyperlink" Target="https://login.consultant.ru/link/?req=doc&amp;base=RLAW913&amp;n=34855&amp;dst=100005" TargetMode="External"/><Relationship Id="rId32" Type="http://schemas.openxmlformats.org/officeDocument/2006/relationships/hyperlink" Target="https://login.consultant.ru/link/?req=doc&amp;base=RLAW913&amp;n=48037&amp;dst=100005" TargetMode="External"/><Relationship Id="rId37" Type="http://schemas.openxmlformats.org/officeDocument/2006/relationships/hyperlink" Target="https://login.consultant.ru/link/?req=doc&amp;base=RLAW913&amp;n=53295&amp;dst=100005" TargetMode="External"/><Relationship Id="rId40" Type="http://schemas.openxmlformats.org/officeDocument/2006/relationships/hyperlink" Target="https://login.consultant.ru/link/?req=doc&amp;base=RLAW913&amp;n=56580&amp;dst=100005" TargetMode="External"/><Relationship Id="rId45" Type="http://schemas.openxmlformats.org/officeDocument/2006/relationships/hyperlink" Target="https://login.consultant.ru/link/?req=doc&amp;base=RLAW913&amp;n=58488&amp;dst=100012" TargetMode="External"/><Relationship Id="rId53" Type="http://schemas.openxmlformats.org/officeDocument/2006/relationships/hyperlink" Target="https://login.consultant.ru/link/?req=doc&amp;base=LAW&amp;n=440485&amp;dst=100018" TargetMode="External"/><Relationship Id="rId58" Type="http://schemas.openxmlformats.org/officeDocument/2006/relationships/hyperlink" Target="https://login.consultant.ru/link/?req=doc&amp;base=LAW&amp;n=41103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13&amp;n=27958&amp;dst=100005" TargetMode="External"/><Relationship Id="rId23" Type="http://schemas.openxmlformats.org/officeDocument/2006/relationships/hyperlink" Target="https://login.consultant.ru/link/?req=doc&amp;base=RLAW913&amp;n=33892&amp;dst=100005" TargetMode="External"/><Relationship Id="rId28" Type="http://schemas.openxmlformats.org/officeDocument/2006/relationships/hyperlink" Target="https://login.consultant.ru/link/?req=doc&amp;base=RLAW913&amp;n=39995&amp;dst=100005" TargetMode="External"/><Relationship Id="rId36" Type="http://schemas.openxmlformats.org/officeDocument/2006/relationships/hyperlink" Target="https://login.consultant.ru/link/?req=doc&amp;base=RLAW913&amp;n=51506&amp;dst=100005" TargetMode="External"/><Relationship Id="rId49" Type="http://schemas.openxmlformats.org/officeDocument/2006/relationships/hyperlink" Target="https://login.consultant.ru/link/?req=doc&amp;base=RLAW913&amp;n=55685" TargetMode="External"/><Relationship Id="rId57" Type="http://schemas.openxmlformats.org/officeDocument/2006/relationships/hyperlink" Target="https://login.consultant.ru/link/?req=doc&amp;base=LAW&amp;n=464894" TargetMode="External"/><Relationship Id="rId61" Type="http://schemas.openxmlformats.org/officeDocument/2006/relationships/hyperlink" Target="https://login.consultant.ru/link/?req=doc&amp;base=LAW&amp;n=458506&amp;dst=27974" TargetMode="External"/><Relationship Id="rId10" Type="http://schemas.openxmlformats.org/officeDocument/2006/relationships/hyperlink" Target="https://login.consultant.ru/link/?req=doc&amp;base=RLAW913&amp;n=23177&amp;dst=100005" TargetMode="External"/><Relationship Id="rId19" Type="http://schemas.openxmlformats.org/officeDocument/2006/relationships/hyperlink" Target="https://login.consultant.ru/link/?req=doc&amp;base=RLAW913&amp;n=31468&amp;dst=100005" TargetMode="External"/><Relationship Id="rId31" Type="http://schemas.openxmlformats.org/officeDocument/2006/relationships/hyperlink" Target="https://login.consultant.ru/link/?req=doc&amp;base=RLAW913&amp;n=45781&amp;dst=100005" TargetMode="External"/><Relationship Id="rId44" Type="http://schemas.openxmlformats.org/officeDocument/2006/relationships/hyperlink" Target="https://login.consultant.ru/link/?req=doc&amp;base=RLAW913&amp;n=58488&amp;dst=100010" TargetMode="External"/><Relationship Id="rId52" Type="http://schemas.openxmlformats.org/officeDocument/2006/relationships/hyperlink" Target="https://login.consultant.ru/link/?req=doc&amp;base=LAW&amp;n=357927" TargetMode="External"/><Relationship Id="rId60" Type="http://schemas.openxmlformats.org/officeDocument/2006/relationships/hyperlink" Target="https://login.consultant.ru/link/?req=doc&amp;base=LAW&amp;n=3579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13&amp;n=22118&amp;dst=100005" TargetMode="External"/><Relationship Id="rId14" Type="http://schemas.openxmlformats.org/officeDocument/2006/relationships/hyperlink" Target="https://login.consultant.ru/link/?req=doc&amp;base=RLAW913&amp;n=27609&amp;dst=100005" TargetMode="External"/><Relationship Id="rId22" Type="http://schemas.openxmlformats.org/officeDocument/2006/relationships/hyperlink" Target="https://login.consultant.ru/link/?req=doc&amp;base=RLAW913&amp;n=33215&amp;dst=100005" TargetMode="External"/><Relationship Id="rId27" Type="http://schemas.openxmlformats.org/officeDocument/2006/relationships/hyperlink" Target="https://login.consultant.ru/link/?req=doc&amp;base=RLAW913&amp;n=37600&amp;dst=100005" TargetMode="External"/><Relationship Id="rId30" Type="http://schemas.openxmlformats.org/officeDocument/2006/relationships/hyperlink" Target="https://login.consultant.ru/link/?req=doc&amp;base=RLAW913&amp;n=43994&amp;dst=100005" TargetMode="External"/><Relationship Id="rId35" Type="http://schemas.openxmlformats.org/officeDocument/2006/relationships/hyperlink" Target="https://login.consultant.ru/link/?req=doc&amp;base=RLAW913&amp;n=50385&amp;dst=100005" TargetMode="External"/><Relationship Id="rId43" Type="http://schemas.openxmlformats.org/officeDocument/2006/relationships/hyperlink" Target="https://login.consultant.ru/link/?req=doc&amp;base=RLAW913&amp;n=57634&amp;dst=100034" TargetMode="External"/><Relationship Id="rId48" Type="http://schemas.openxmlformats.org/officeDocument/2006/relationships/hyperlink" Target="https://login.consultant.ru/link/?req=doc&amp;base=RLAW913&amp;n=57496" TargetMode="External"/><Relationship Id="rId56" Type="http://schemas.openxmlformats.org/officeDocument/2006/relationships/hyperlink" Target="https://login.consultant.ru/link/?req=doc&amp;base=LAW&amp;n=451847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13&amp;n=21461&amp;dst=100005" TargetMode="External"/><Relationship Id="rId51" Type="http://schemas.openxmlformats.org/officeDocument/2006/relationships/hyperlink" Target="https://login.consultant.ru/link/?req=doc&amp;base=LAW&amp;n=33853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13&amp;n=25065&amp;dst=100005" TargetMode="External"/><Relationship Id="rId17" Type="http://schemas.openxmlformats.org/officeDocument/2006/relationships/hyperlink" Target="https://login.consultant.ru/link/?req=doc&amp;base=RLAW913&amp;n=30292&amp;dst=100005" TargetMode="External"/><Relationship Id="rId25" Type="http://schemas.openxmlformats.org/officeDocument/2006/relationships/hyperlink" Target="https://login.consultant.ru/link/?req=doc&amp;base=RLAW913&amp;n=36010&amp;dst=100005" TargetMode="External"/><Relationship Id="rId33" Type="http://schemas.openxmlformats.org/officeDocument/2006/relationships/hyperlink" Target="https://login.consultant.ru/link/?req=doc&amp;base=RLAW913&amp;n=49050&amp;dst=100005" TargetMode="External"/><Relationship Id="rId38" Type="http://schemas.openxmlformats.org/officeDocument/2006/relationships/hyperlink" Target="https://login.consultant.ru/link/?req=doc&amp;base=RLAW913&amp;n=55061&amp;dst=100005" TargetMode="External"/><Relationship Id="rId46" Type="http://schemas.openxmlformats.org/officeDocument/2006/relationships/hyperlink" Target="https://login.consultant.ru/link/?req=doc&amp;base=LAW&amp;n=470713" TargetMode="External"/><Relationship Id="rId59" Type="http://schemas.openxmlformats.org/officeDocument/2006/relationships/hyperlink" Target="https://login.consultant.ru/link/?req=doc&amp;base=RLAW913&amp;n=42662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5095</Words>
  <Characters>29048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1</cp:revision>
  <dcterms:created xsi:type="dcterms:W3CDTF">2024-05-03T07:45:00Z</dcterms:created>
  <dcterms:modified xsi:type="dcterms:W3CDTF">2024-05-03T07:46:00Z</dcterms:modified>
</cp:coreProperties>
</file>